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21" w:rsidRDefault="00C12CA1" w:rsidP="00912F1E">
      <w:pPr>
        <w:widowControl/>
        <w:spacing w:before="67" w:after="67" w:line="360" w:lineRule="auto"/>
        <w:ind w:left="3092" w:hangingChars="1100" w:hanging="3092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cs="宋体"/>
          <w:b/>
          <w:bCs/>
          <w:kern w:val="0"/>
          <w:sz w:val="28"/>
          <w:szCs w:val="28"/>
        </w:rPr>
        <w:t>同</w:t>
      </w:r>
    </w:p>
    <w:p w:rsidR="00375521" w:rsidRDefault="00C12CA1">
      <w:pPr>
        <w:widowControl/>
        <w:spacing w:before="67" w:after="67"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 </w:t>
      </w: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甲方：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泉州市农业农村局</w:t>
      </w: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乙方：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杭州邦尼动物保健品有限公司</w:t>
      </w: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根据项目编号为</w:t>
      </w:r>
      <w:r>
        <w:rPr>
          <w:rFonts w:ascii="宋体" w:hAnsi="宋体" w:cs="宋体" w:hint="eastAsia"/>
          <w:b/>
          <w:bCs/>
          <w:sz w:val="24"/>
          <w:szCs w:val="24"/>
          <w:u w:val="single"/>
          <w:shd w:val="clear" w:color="auto" w:fill="FFFFFF"/>
        </w:rPr>
        <w:t>DHZB2020021</w:t>
      </w:r>
      <w:r>
        <w:rPr>
          <w:rFonts w:ascii="宋体" w:hAnsi="宋体" w:cs="宋体"/>
          <w:kern w:val="0"/>
          <w:sz w:val="24"/>
          <w:szCs w:val="24"/>
        </w:rPr>
        <w:t>的</w:t>
      </w:r>
      <w:r>
        <w:rPr>
          <w:rFonts w:ascii="宋体" w:hAnsi="宋体" w:cs="宋体" w:hint="eastAsia"/>
          <w:b/>
          <w:bCs/>
          <w:sz w:val="24"/>
          <w:szCs w:val="24"/>
          <w:u w:val="single"/>
          <w:shd w:val="clear" w:color="auto" w:fill="FFFFFF"/>
        </w:rPr>
        <w:t>泉州市农业农村局</w:t>
      </w:r>
      <w:r>
        <w:rPr>
          <w:rFonts w:ascii="宋体" w:hAnsi="宋体" w:cs="宋体" w:hint="eastAsia"/>
          <w:b/>
          <w:bCs/>
          <w:sz w:val="24"/>
          <w:szCs w:val="24"/>
          <w:u w:val="single"/>
          <w:shd w:val="clear" w:color="auto" w:fill="FFFFFF"/>
        </w:rPr>
        <w:t>2020</w:t>
      </w:r>
      <w:r>
        <w:rPr>
          <w:rFonts w:ascii="宋体" w:hAnsi="宋体" w:cs="宋体" w:hint="eastAsia"/>
          <w:b/>
          <w:bCs/>
          <w:sz w:val="24"/>
          <w:szCs w:val="24"/>
          <w:u w:val="single"/>
          <w:shd w:val="clear" w:color="auto" w:fill="FFFFFF"/>
        </w:rPr>
        <w:t>年度非洲猪瘟等重大动物疫病检测试剂及耗材采购项目</w:t>
      </w:r>
      <w:r>
        <w:rPr>
          <w:rFonts w:ascii="宋体" w:hAnsi="宋体" w:cs="宋体"/>
          <w:kern w:val="0"/>
          <w:sz w:val="24"/>
          <w:szCs w:val="24"/>
        </w:rPr>
        <w:t>（以下简称：</w:t>
      </w:r>
      <w:r>
        <w:rPr>
          <w:rFonts w:ascii="宋体" w:hAnsi="宋体" w:cs="宋体"/>
          <w:kern w:val="0"/>
          <w:sz w:val="24"/>
          <w:szCs w:val="24"/>
        </w:rPr>
        <w:t>“</w:t>
      </w:r>
      <w:r>
        <w:rPr>
          <w:rFonts w:ascii="宋体" w:hAnsi="宋体" w:cs="宋体"/>
          <w:kern w:val="0"/>
          <w:sz w:val="24"/>
          <w:szCs w:val="24"/>
        </w:rPr>
        <w:t>本项目</w:t>
      </w:r>
      <w:r>
        <w:rPr>
          <w:rFonts w:ascii="宋体" w:hAnsi="宋体" w:cs="宋体"/>
          <w:kern w:val="0"/>
          <w:sz w:val="24"/>
          <w:szCs w:val="24"/>
        </w:rPr>
        <w:t>”</w:t>
      </w:r>
      <w:r>
        <w:rPr>
          <w:rFonts w:ascii="宋体" w:hAnsi="宋体" w:cs="宋体"/>
          <w:kern w:val="0"/>
          <w:sz w:val="24"/>
          <w:szCs w:val="24"/>
        </w:rPr>
        <w:t>）的谈判结果，乙方为成交供应商。现经甲乙双方友好协商，就以下事项达成一致并签订本合同：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/>
          <w:kern w:val="0"/>
          <w:sz w:val="24"/>
          <w:szCs w:val="24"/>
        </w:rPr>
        <w:t>、下列合同文件是构成本合同不可分割的部分：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1.1</w:t>
      </w:r>
      <w:r>
        <w:rPr>
          <w:rFonts w:ascii="宋体" w:hAnsi="宋体" w:cs="宋体"/>
          <w:kern w:val="0"/>
          <w:sz w:val="24"/>
          <w:szCs w:val="24"/>
        </w:rPr>
        <w:t>合同条款；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1.2</w:t>
      </w:r>
      <w:r>
        <w:rPr>
          <w:rFonts w:ascii="宋体" w:hAnsi="宋体" w:cs="宋体"/>
          <w:kern w:val="0"/>
          <w:sz w:val="24"/>
          <w:szCs w:val="24"/>
        </w:rPr>
        <w:t>谈判文件、乙方的响应文件；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1.3</w:t>
      </w:r>
      <w:r>
        <w:rPr>
          <w:rFonts w:ascii="宋体" w:hAnsi="宋体" w:cs="宋体"/>
          <w:kern w:val="0"/>
          <w:sz w:val="24"/>
          <w:szCs w:val="24"/>
        </w:rPr>
        <w:t>其他文件或材料：</w:t>
      </w:r>
      <w:r>
        <w:rPr>
          <w:rFonts w:ascii="宋体" w:hAnsi="宋体" w:cs="宋体" w:hint="eastAsia"/>
          <w:kern w:val="0"/>
          <w:sz w:val="24"/>
          <w:szCs w:val="24"/>
        </w:rPr>
        <w:t>□</w:t>
      </w:r>
      <w:r>
        <w:rPr>
          <w:rFonts w:ascii="宋体" w:hAnsi="宋体" w:cs="宋体"/>
          <w:kern w:val="0"/>
          <w:sz w:val="24"/>
          <w:szCs w:val="24"/>
        </w:rPr>
        <w:t>无。</w:t>
      </w:r>
      <w:r>
        <w:rPr>
          <w:rFonts w:ascii="宋体" w:hAnsi="宋体" w:cs="宋体" w:hint="eastAsia"/>
          <w:kern w:val="0"/>
          <w:sz w:val="24"/>
          <w:szCs w:val="24"/>
        </w:rPr>
        <w:t>☑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无</w:t>
      </w:r>
      <w:r>
        <w:rPr>
          <w:rFonts w:ascii="宋体" w:hAnsi="宋体" w:cs="宋体"/>
          <w:kern w:val="0"/>
          <w:sz w:val="24"/>
          <w:szCs w:val="24"/>
        </w:rPr>
        <w:t>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/>
          <w:kern w:val="0"/>
          <w:sz w:val="24"/>
          <w:szCs w:val="24"/>
        </w:rPr>
        <w:t>、合同标的</w:t>
      </w:r>
    </w:p>
    <w:tbl>
      <w:tblPr>
        <w:tblW w:w="8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930"/>
        <w:gridCol w:w="2331"/>
        <w:gridCol w:w="1032"/>
        <w:gridCol w:w="1032"/>
        <w:gridCol w:w="1032"/>
        <w:gridCol w:w="1032"/>
      </w:tblGrid>
      <w:tr w:rsidR="00375521">
        <w:trPr>
          <w:trHeight w:val="959"/>
          <w:tblHeader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合同包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允许</w:t>
            </w:r>
          </w:p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进口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品目号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总金额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合同包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总金额</w:t>
            </w:r>
          </w:p>
        </w:tc>
      </w:tr>
      <w:tr w:rsidR="00375521">
        <w:trPr>
          <w:trHeight w:val="482"/>
          <w:tblHeader/>
          <w:jc w:val="center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1-1</w:t>
            </w:r>
          </w:p>
        </w:tc>
        <w:tc>
          <w:tcPr>
            <w:tcW w:w="23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动物疫病检测试剂及耗材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98600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418573</w:t>
            </w:r>
          </w:p>
        </w:tc>
      </w:tr>
      <w:tr w:rsidR="00375521">
        <w:trPr>
          <w:trHeight w:val="385"/>
          <w:tblHeader/>
          <w:jc w:val="center"/>
        </w:trPr>
        <w:tc>
          <w:tcPr>
            <w:tcW w:w="8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37552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1-2</w:t>
            </w:r>
          </w:p>
        </w:tc>
        <w:tc>
          <w:tcPr>
            <w:tcW w:w="23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37552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319973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37552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/>
          <w:kern w:val="0"/>
          <w:sz w:val="24"/>
          <w:szCs w:val="24"/>
        </w:rPr>
        <w:t>、合同总金额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3.1</w:t>
      </w:r>
      <w:r>
        <w:rPr>
          <w:rFonts w:ascii="宋体" w:hAnsi="宋体" w:cs="宋体"/>
          <w:kern w:val="0"/>
          <w:sz w:val="24"/>
          <w:szCs w:val="24"/>
        </w:rPr>
        <w:t>合同总金额为人民币大写：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肆拾壹万捌仟伍佰柒拾叁</w:t>
      </w:r>
      <w:r>
        <w:rPr>
          <w:rFonts w:ascii="宋体" w:hAnsi="宋体" w:cs="宋体"/>
          <w:kern w:val="0"/>
          <w:sz w:val="24"/>
          <w:szCs w:val="24"/>
        </w:rPr>
        <w:t>元（￥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418573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元</w:t>
      </w:r>
      <w:r>
        <w:rPr>
          <w:rFonts w:ascii="宋体" w:hAnsi="宋体" w:cs="宋体"/>
          <w:kern w:val="0"/>
          <w:sz w:val="24"/>
          <w:szCs w:val="24"/>
        </w:rPr>
        <w:t>）。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/>
          <w:kern w:val="0"/>
          <w:sz w:val="24"/>
          <w:szCs w:val="24"/>
        </w:rPr>
        <w:t>、合同标的交付时间、地点和条件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4.1</w:t>
      </w:r>
      <w:r>
        <w:rPr>
          <w:rFonts w:ascii="宋体" w:hAnsi="宋体" w:cs="宋体"/>
          <w:kern w:val="0"/>
          <w:sz w:val="24"/>
          <w:szCs w:val="24"/>
        </w:rPr>
        <w:t>交付时间：</w:t>
      </w:r>
      <w:r>
        <w:rPr>
          <w:rFonts w:ascii="宋体" w:hAnsi="宋体" w:cs="宋体" w:hint="eastAsia"/>
          <w:b/>
          <w:bCs/>
          <w:sz w:val="24"/>
          <w:szCs w:val="24"/>
        </w:rPr>
        <w:t>合同签订后，按照</w:t>
      </w:r>
      <w:r>
        <w:rPr>
          <w:rFonts w:ascii="宋体" w:hAnsi="宋体" w:cs="宋体" w:hint="eastAsia"/>
          <w:b/>
          <w:bCs/>
          <w:sz w:val="24"/>
          <w:szCs w:val="24"/>
        </w:rPr>
        <w:t>甲方</w:t>
      </w:r>
      <w:r>
        <w:rPr>
          <w:rFonts w:ascii="宋体" w:hAnsi="宋体" w:cs="宋体" w:hint="eastAsia"/>
          <w:b/>
          <w:bCs/>
          <w:sz w:val="24"/>
          <w:szCs w:val="24"/>
        </w:rPr>
        <w:t>需求，</w:t>
      </w:r>
      <w:r>
        <w:rPr>
          <w:rFonts w:ascii="宋体" w:hAnsi="宋体" w:cs="宋体" w:hint="eastAsia"/>
          <w:b/>
          <w:bCs/>
          <w:sz w:val="24"/>
          <w:szCs w:val="24"/>
        </w:rPr>
        <w:t>乙方</w:t>
      </w:r>
      <w:r>
        <w:rPr>
          <w:rFonts w:ascii="宋体" w:hAnsi="宋体" w:cs="宋体" w:hint="eastAsia"/>
          <w:b/>
          <w:bCs/>
          <w:sz w:val="24"/>
          <w:szCs w:val="24"/>
        </w:rPr>
        <w:t>分</w:t>
      </w: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 w:hint="eastAsia"/>
          <w:b/>
          <w:bCs/>
          <w:sz w:val="24"/>
          <w:szCs w:val="24"/>
        </w:rPr>
        <w:t>至</w:t>
      </w:r>
      <w:r>
        <w:rPr>
          <w:rFonts w:ascii="宋体" w:hAnsi="宋体" w:cs="宋体" w:hint="eastAsia"/>
          <w:b/>
          <w:bCs/>
          <w:sz w:val="24"/>
          <w:szCs w:val="24"/>
        </w:rPr>
        <w:t>3</w:t>
      </w:r>
      <w:r>
        <w:rPr>
          <w:rFonts w:ascii="宋体" w:hAnsi="宋体" w:cs="宋体" w:hint="eastAsia"/>
          <w:b/>
          <w:bCs/>
          <w:sz w:val="24"/>
          <w:szCs w:val="24"/>
        </w:rPr>
        <w:t>批次交货，货款分批次结算</w:t>
      </w:r>
      <w:r>
        <w:rPr>
          <w:rFonts w:ascii="宋体" w:hAnsi="宋体" w:cs="宋体"/>
          <w:kern w:val="0"/>
          <w:sz w:val="24"/>
          <w:szCs w:val="24"/>
        </w:rPr>
        <w:t>；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4.2</w:t>
      </w:r>
      <w:r>
        <w:rPr>
          <w:rFonts w:ascii="宋体" w:hAnsi="宋体" w:cs="宋体"/>
          <w:kern w:val="0"/>
          <w:sz w:val="24"/>
          <w:szCs w:val="24"/>
        </w:rPr>
        <w:t>交付地点：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福建省泉州市鲤城区新华南路农业大厦动物疫控预防控制中心</w:t>
      </w:r>
      <w:r>
        <w:rPr>
          <w:rFonts w:ascii="宋体" w:hAnsi="宋体" w:cs="宋体"/>
          <w:kern w:val="0"/>
          <w:sz w:val="24"/>
          <w:szCs w:val="24"/>
        </w:rPr>
        <w:t>；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4.3</w:t>
      </w:r>
      <w:r>
        <w:rPr>
          <w:rFonts w:ascii="宋体" w:hAnsi="宋体" w:cs="宋体"/>
          <w:kern w:val="0"/>
          <w:sz w:val="24"/>
          <w:szCs w:val="24"/>
        </w:rPr>
        <w:t>交付条件：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满足招标要求和实际投标响应要求，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乙方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按时按质交货、安装完毕、验收合格为准</w:t>
      </w:r>
      <w:r>
        <w:rPr>
          <w:rFonts w:ascii="宋体" w:hAnsi="宋体" w:cs="宋体"/>
          <w:kern w:val="0"/>
          <w:sz w:val="24"/>
          <w:szCs w:val="24"/>
        </w:rPr>
        <w:t>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/>
          <w:kern w:val="0"/>
          <w:sz w:val="24"/>
          <w:szCs w:val="24"/>
        </w:rPr>
        <w:t>、合同标的应符合谈判文件、乙方响应文件的规定或约定，具体如下：</w:t>
      </w:r>
    </w:p>
    <w:p w:rsidR="00375521" w:rsidRDefault="00375521">
      <w:pPr>
        <w:pStyle w:val="a5"/>
        <w:snapToGrid w:val="0"/>
        <w:spacing w:before="0" w:beforeAutospacing="0" w:after="0" w:afterAutospacing="0" w:line="276" w:lineRule="auto"/>
        <w:jc w:val="right"/>
        <w:outlineLvl w:val="0"/>
      </w:pPr>
    </w:p>
    <w:p w:rsidR="00375521" w:rsidRDefault="00375521">
      <w:pPr>
        <w:pStyle w:val="a5"/>
        <w:snapToGrid w:val="0"/>
        <w:spacing w:before="0" w:beforeAutospacing="0" w:after="0" w:afterAutospacing="0" w:line="276" w:lineRule="auto"/>
        <w:jc w:val="right"/>
        <w:outlineLvl w:val="0"/>
      </w:pPr>
    </w:p>
    <w:p w:rsidR="00375521" w:rsidRDefault="00C12CA1">
      <w:pPr>
        <w:pStyle w:val="a5"/>
        <w:snapToGrid w:val="0"/>
        <w:spacing w:before="0" w:beforeAutospacing="0" w:after="0" w:afterAutospacing="0" w:line="276" w:lineRule="auto"/>
        <w:jc w:val="right"/>
        <w:outlineLvl w:val="0"/>
        <w:rPr>
          <w:rStyle w:val="a7"/>
          <w:sz w:val="32"/>
          <w:szCs w:val="32"/>
        </w:rPr>
      </w:pPr>
      <w:r>
        <w:rPr>
          <w:rFonts w:hint="eastAsia"/>
        </w:rPr>
        <w:lastRenderedPageBreak/>
        <w:t>货币单位：</w:t>
      </w:r>
      <w:r>
        <w:rPr>
          <w:rFonts w:hint="eastAsia"/>
          <w:b/>
          <w:bCs/>
          <w:u w:val="single"/>
        </w:rPr>
        <w:t>元人民币</w:t>
      </w:r>
    </w:p>
    <w:tbl>
      <w:tblPr>
        <w:tblStyle w:val="a6"/>
        <w:tblW w:w="9328" w:type="dxa"/>
        <w:tblInd w:w="-325" w:type="dxa"/>
        <w:tblLayout w:type="fixed"/>
        <w:tblLook w:val="04A0"/>
      </w:tblPr>
      <w:tblGrid>
        <w:gridCol w:w="586"/>
        <w:gridCol w:w="4328"/>
        <w:gridCol w:w="1500"/>
        <w:gridCol w:w="827"/>
        <w:gridCol w:w="949"/>
        <w:gridCol w:w="1138"/>
      </w:tblGrid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</w:rPr>
            </w:pPr>
            <w:r>
              <w:rPr>
                <w:rFonts w:cs="Tahoma" w:hint="eastAsia"/>
              </w:rPr>
              <w:t>序号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</w:rPr>
            </w:pPr>
            <w:r>
              <w:rPr>
                <w:rFonts w:cs="Tahoma" w:hint="eastAsia"/>
              </w:rPr>
              <w:t>名称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</w:rPr>
            </w:pPr>
            <w:r>
              <w:rPr>
                <w:rFonts w:cs="Tahoma" w:hint="eastAsia"/>
              </w:rPr>
              <w:t>规格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</w:rPr>
            </w:pPr>
            <w:r>
              <w:rPr>
                <w:rFonts w:cs="Tahoma" w:hint="eastAsia"/>
              </w:rPr>
              <w:t>数量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</w:rPr>
            </w:pPr>
            <w:r>
              <w:rPr>
                <w:rFonts w:cs="Tahoma" w:hint="eastAsia"/>
              </w:rPr>
              <w:t>单价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</w:rPr>
            </w:pPr>
            <w:r>
              <w:rPr>
                <w:rFonts w:cs="Tahoma" w:hint="eastAsia"/>
              </w:rPr>
              <w:t>总价</w:t>
            </w:r>
          </w:p>
        </w:tc>
      </w:tr>
      <w:tr w:rsidR="00375521">
        <w:trPr>
          <w:trHeight w:val="624"/>
        </w:trPr>
        <w:tc>
          <w:tcPr>
            <w:tcW w:w="9328" w:type="dxa"/>
            <w:gridSpan w:val="6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品目号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1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1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蓝耳病抗体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12000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24000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2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小反刍兽疫抗体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384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11000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22000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3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禽白血病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AB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型抗体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板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5900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5900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4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禽白血病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J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型抗体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板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5900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5900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5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猪伪狂犬</w:t>
            </w:r>
            <w:proofErr w:type="spellStart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gB</w:t>
            </w:r>
            <w:proofErr w:type="spellEnd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抗体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板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5500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5500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6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猪伪狂犬</w:t>
            </w:r>
            <w:proofErr w:type="spellStart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gE</w:t>
            </w:r>
            <w:proofErr w:type="spellEnd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抗体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板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5500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5500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7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非洲猪瘟抗体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11000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11000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8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布病抗体竞争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192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5200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10400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9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5mm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钢珠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QIANGEN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2700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5400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10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96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孔白色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反应板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+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膜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罗氏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板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包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3000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3000</w:t>
            </w:r>
          </w:p>
        </w:tc>
      </w:tr>
      <w:tr w:rsidR="00375521">
        <w:trPr>
          <w:trHeight w:val="624"/>
        </w:trPr>
        <w:tc>
          <w:tcPr>
            <w:tcW w:w="9328" w:type="dxa"/>
            <w:gridSpan w:val="6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品目号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1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合计金额：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98600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元</w:t>
            </w:r>
          </w:p>
        </w:tc>
      </w:tr>
      <w:tr w:rsidR="00375521">
        <w:trPr>
          <w:trHeight w:val="624"/>
        </w:trPr>
        <w:tc>
          <w:tcPr>
            <w:tcW w:w="9328" w:type="dxa"/>
            <w:gridSpan w:val="6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品目号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2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11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禽流感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H5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亚型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Re-11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株血凝抵制抗原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270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2160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12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禽流感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H5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亚型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Re-11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株阳性血清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520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1040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13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禽流感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H5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亚型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Re-12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株血凝抵制抗原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270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2160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14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禽流感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H5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亚型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Re-12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株阳性血清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520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1040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15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禽流感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H7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亚型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Re-2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株血凝抵制抗原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270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4050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16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禽流感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H7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亚型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Re-2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株阳性血清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520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3120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17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鸡新城疫血凝抵制抗原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260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1300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lastRenderedPageBreak/>
              <w:t>18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鸡新城疫阳性血清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360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720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19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鸡新城疫阴性血清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20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猪瘟抗体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6800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13600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21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口蹄疫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O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型抗体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8800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17600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22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口蹄疫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型抗体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8800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17600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23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非洲猪瘟病毒夹心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抗体检测试剂盒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6000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6000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24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狂犬病抗原检测试纸条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条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3000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25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狂犬病毒抗体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192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6000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6000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26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狂犬病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96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孔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1900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1900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27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布病虎红平板凝集抗原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620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3100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28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布病虎红平板凝集阳性血清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1500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29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布病虎红平板凝集阴性血清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1500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30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D-MEM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保存液（加双抗甘油）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500mL/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150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1500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31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ELISA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试验封口膜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片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32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胶乳手套（中号）科邦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厚的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付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包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160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320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33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真空采血管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+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针头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95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285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34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枸椽酸钠抗凝采血管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+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针头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95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285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35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含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EDTA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抗凝采血管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+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针头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5ML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36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含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EDTA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抗凝采血管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+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针头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10ML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110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330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37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一次性注射器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2.5mL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65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195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38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一次性注射器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5mL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240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39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75%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酒精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500mL/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280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lastRenderedPageBreak/>
              <w:t>40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95%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酒精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500mL/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140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41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碘酒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35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42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200ul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吸咀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AXYGEN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无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RNA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酶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96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960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43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200ul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吸咀带滤芯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AXYGEN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无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RNA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酶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96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960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44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10ul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吸咀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AXYGEN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无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RNA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酶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96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45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10ul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吸咀带滤芯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AXYGEN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无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RNA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酶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96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960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46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2.0ml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离心管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AXYGEN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无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RNA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酶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只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包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95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570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47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200ul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吸咀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AXYGEN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包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95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190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48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无粉手套中号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蓝色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双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43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258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49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医用防护目镜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个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50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医用防护面屏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个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25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51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医用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N95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口罩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个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720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4320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52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一次性外科医用口罩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个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包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52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2600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53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天隆核酸提取试剂盒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待分装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1300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2600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54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天隆核酸提取试剂盒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预分装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64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1900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38000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55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非洲猪瘟标准物质中国疫控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管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56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非洲猪瘟病毒荧光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检测试剂盒（快速）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2500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30000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57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非洲猪瘟病毒荧光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      (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含标准物质）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3500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7000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58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牛结节性皮肤病病毒荧光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3800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3800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59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禽流感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H5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亚型荧光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RT-PCR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2200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26400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60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禽流感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H5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亚型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H7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亚型双重荧光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RT-PCR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4000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8000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lastRenderedPageBreak/>
              <w:t>61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禽流感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H7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亚型荧光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RT-PCR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2200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26400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62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禽流感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H9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亚型荧光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RT-PCR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2200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2200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63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新城疫荧光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RT-PCR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2200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4400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64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口蹄疫通用型荧光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RT-PCR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6300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65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猪瘟荧光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RT-PCR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6300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66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高致病性猪蓝耳病荧光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RT-PCR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6300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67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蓝耳病通用型荧光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RT-PCR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6300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68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伪狂犬病毒荧光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6300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69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猪圆环病毒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II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型荧光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6300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70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链球菌荧光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71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小反刍兽疫荧光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6300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72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鸭瘟荧光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试剂盒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头份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盒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2100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6300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73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白大褂三种不同颜色不同规格（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PCR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检测用）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74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心相印纸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包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320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75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0.9%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生理盐水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500ml/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140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76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洗手液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500g/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140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77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免洗手消毒液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100ml/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瓶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180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78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一次性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PE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手套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双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包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79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冰盒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个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40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80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医用卫生帽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个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0.5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t>81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鞋套（高筒防水鞋套）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双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50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250</w:t>
            </w:r>
          </w:p>
        </w:tc>
      </w:tr>
      <w:tr w:rsidR="00375521">
        <w:trPr>
          <w:trHeight w:val="624"/>
        </w:trPr>
        <w:tc>
          <w:tcPr>
            <w:tcW w:w="586" w:type="dxa"/>
            <w:vAlign w:val="center"/>
          </w:tcPr>
          <w:p w:rsidR="00375521" w:rsidRDefault="00C12CA1">
            <w:pPr>
              <w:pStyle w:val="a5"/>
              <w:snapToGrid w:val="0"/>
              <w:spacing w:before="0" w:beforeAutospacing="0" w:after="0" w:afterAutospacing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 w:hint="eastAsia"/>
                <w:b/>
                <w:bCs/>
              </w:rPr>
              <w:lastRenderedPageBreak/>
              <w:t>82</w:t>
            </w:r>
          </w:p>
        </w:tc>
        <w:tc>
          <w:tcPr>
            <w:tcW w:w="432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鞋套（一次性鞋套）</w:t>
            </w:r>
          </w:p>
        </w:tc>
        <w:tc>
          <w:tcPr>
            <w:tcW w:w="1500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个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包</w:t>
            </w:r>
          </w:p>
        </w:tc>
        <w:tc>
          <w:tcPr>
            <w:tcW w:w="827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949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25</w:t>
            </w:r>
          </w:p>
        </w:tc>
        <w:tc>
          <w:tcPr>
            <w:tcW w:w="1138" w:type="dxa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75</w:t>
            </w:r>
          </w:p>
        </w:tc>
      </w:tr>
      <w:tr w:rsidR="00375521">
        <w:trPr>
          <w:trHeight w:val="624"/>
        </w:trPr>
        <w:tc>
          <w:tcPr>
            <w:tcW w:w="9328" w:type="dxa"/>
            <w:gridSpan w:val="6"/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品目号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2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合计金额：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319973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元</w:t>
            </w:r>
          </w:p>
        </w:tc>
      </w:tr>
    </w:tbl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ascii="宋体" w:hAnsi="宋体" w:cs="宋体"/>
          <w:kern w:val="0"/>
          <w:sz w:val="24"/>
          <w:szCs w:val="24"/>
        </w:rPr>
        <w:t>、验收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6.1</w:t>
      </w:r>
      <w:r>
        <w:rPr>
          <w:rFonts w:ascii="宋体" w:hAnsi="宋体" w:cs="宋体"/>
          <w:kern w:val="0"/>
          <w:sz w:val="24"/>
          <w:szCs w:val="24"/>
        </w:rPr>
        <w:t>验收应按照谈判文件、乙方响应文件的规定或约定进行，具体如下：</w:t>
      </w:r>
    </w:p>
    <w:p w:rsidR="00375521" w:rsidRDefault="00C12CA1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详见投标响应文件</w:t>
      </w:r>
      <w:r>
        <w:rPr>
          <w:rFonts w:ascii="宋体" w:hAnsi="宋体" w:cs="宋体"/>
          <w:b/>
          <w:bCs/>
          <w:kern w:val="0"/>
          <w:sz w:val="24"/>
          <w:szCs w:val="24"/>
          <w:u w:val="single"/>
        </w:rPr>
        <w:t>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6.2</w:t>
      </w:r>
      <w:r>
        <w:rPr>
          <w:rFonts w:ascii="宋体" w:hAnsi="宋体" w:cs="宋体"/>
          <w:kern w:val="0"/>
          <w:sz w:val="24"/>
          <w:szCs w:val="24"/>
        </w:rPr>
        <w:t>本项目是否邀请其他供应商参与验收：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☑</w:t>
      </w:r>
      <w:r>
        <w:rPr>
          <w:rFonts w:ascii="宋体" w:hAnsi="宋体" w:cs="宋体"/>
          <w:kern w:val="0"/>
          <w:sz w:val="24"/>
          <w:szCs w:val="24"/>
        </w:rPr>
        <w:t>不邀请。</w:t>
      </w:r>
      <w:r>
        <w:rPr>
          <w:rFonts w:ascii="宋体" w:hAnsi="宋体" w:cs="宋体"/>
          <w:kern w:val="0"/>
          <w:sz w:val="24"/>
          <w:szCs w:val="24"/>
        </w:rPr>
        <w:t>□</w:t>
      </w:r>
      <w:r>
        <w:rPr>
          <w:rFonts w:ascii="宋体" w:hAnsi="宋体" w:cs="宋体"/>
          <w:kern w:val="0"/>
          <w:sz w:val="24"/>
          <w:szCs w:val="24"/>
        </w:rPr>
        <w:t>邀请，具体如下：（按照谈判文件规定填写）。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7</w:t>
      </w:r>
      <w:r>
        <w:rPr>
          <w:rFonts w:ascii="宋体" w:hAnsi="宋体" w:cs="宋体"/>
          <w:kern w:val="0"/>
          <w:sz w:val="24"/>
          <w:szCs w:val="24"/>
        </w:rPr>
        <w:t>、合同款项的支付应按照谈判文件的规定进行，具体如下：</w:t>
      </w:r>
    </w:p>
    <w:p w:rsidR="00375521" w:rsidRDefault="00C12CA1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  <w:u w:val="single"/>
        </w:rPr>
        <w:t>按照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甲方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需求，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乙方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分</w:t>
      </w:r>
      <w:r>
        <w:rPr>
          <w:rFonts w:ascii="宋体" w:hAnsi="宋体" w:cs="宋体"/>
          <w:b/>
          <w:bCs/>
          <w:sz w:val="24"/>
          <w:szCs w:val="24"/>
          <w:u w:val="single"/>
        </w:rPr>
        <w:t>2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至</w:t>
      </w:r>
      <w:r>
        <w:rPr>
          <w:rFonts w:ascii="宋体" w:hAnsi="宋体" w:cs="宋体"/>
          <w:b/>
          <w:bCs/>
          <w:sz w:val="24"/>
          <w:szCs w:val="24"/>
          <w:u w:val="single"/>
        </w:rPr>
        <w:t>3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批次交货，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验收合格后，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货款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按批次交货完成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结算。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8</w:t>
      </w:r>
      <w:r>
        <w:rPr>
          <w:rFonts w:ascii="宋体" w:hAnsi="宋体" w:cs="宋体"/>
          <w:kern w:val="0"/>
          <w:sz w:val="24"/>
          <w:szCs w:val="24"/>
        </w:rPr>
        <w:t>、履约保证金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□</w:t>
      </w:r>
      <w:r>
        <w:rPr>
          <w:rFonts w:ascii="宋体" w:hAnsi="宋体" w:cs="宋体"/>
          <w:kern w:val="0"/>
          <w:sz w:val="24"/>
          <w:szCs w:val="24"/>
        </w:rPr>
        <w:t>无。</w:t>
      </w:r>
      <w:r>
        <w:rPr>
          <w:rFonts w:ascii="宋体" w:hAnsi="宋体" w:cs="宋体" w:hint="eastAsia"/>
          <w:kern w:val="0"/>
          <w:sz w:val="24"/>
          <w:szCs w:val="24"/>
        </w:rPr>
        <w:t>☑</w:t>
      </w:r>
      <w:r>
        <w:rPr>
          <w:rFonts w:ascii="宋体" w:hAnsi="宋体" w:cs="宋体"/>
          <w:kern w:val="0"/>
          <w:sz w:val="24"/>
          <w:szCs w:val="24"/>
        </w:rPr>
        <w:t>有，具体如下：</w:t>
      </w:r>
    </w:p>
    <w:tbl>
      <w:tblPr>
        <w:tblW w:w="8420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4"/>
        <w:gridCol w:w="1950"/>
        <w:gridCol w:w="5036"/>
      </w:tblGrid>
      <w:tr w:rsidR="00375521">
        <w:trPr>
          <w:tblHeader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包号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履约保证金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履约保证金说明</w:t>
            </w:r>
          </w:p>
        </w:tc>
      </w:tr>
      <w:tr w:rsidR="00375521"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包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20928.65</w:t>
            </w:r>
          </w:p>
          <w:p w:rsidR="00375521" w:rsidRDefault="00C12CA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贰万零玖佰贰拾捌元陆角伍分）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521" w:rsidRDefault="00C12CA1">
            <w:pPr>
              <w:spacing w:line="360" w:lineRule="auto"/>
              <w:jc w:val="left"/>
              <w:rPr>
                <w:rFonts w:ascii="宋体" w:hAnsi="宋体" w:cs="宋体"/>
                <w:kern w:val="1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乙方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在与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甲方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签订合同前，应向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甲方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提交按中标金额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5%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的履约保证金。</w:t>
            </w:r>
          </w:p>
          <w:p w:rsidR="00375521" w:rsidRDefault="00C12CA1">
            <w:pPr>
              <w:spacing w:line="360" w:lineRule="auto"/>
              <w:jc w:val="left"/>
              <w:rPr>
                <w:rFonts w:ascii="宋体" w:hAnsi="宋体" w:cs="宋体"/>
                <w:kern w:val="1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该履约保证金在验收合格后自动转为质保金，在一年质保期满，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乙方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提出书面申请后，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甲方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于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个工作日内予以无息退还。</w:t>
            </w:r>
          </w:p>
          <w:p w:rsidR="00375521" w:rsidRDefault="00C12CA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/>
              </w:rPr>
              <w:t>提交方式为：电汇或银行转帐。</w:t>
            </w:r>
          </w:p>
        </w:tc>
      </w:tr>
    </w:tbl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9</w:t>
      </w:r>
      <w:r>
        <w:rPr>
          <w:rFonts w:ascii="宋体" w:hAnsi="宋体" w:cs="宋体"/>
          <w:kern w:val="0"/>
          <w:sz w:val="24"/>
          <w:szCs w:val="24"/>
        </w:rPr>
        <w:t>、合同有效期</w:t>
      </w:r>
    </w:p>
    <w:p w:rsidR="00375521" w:rsidRDefault="00C12CA1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12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个月</w:t>
      </w:r>
      <w:r>
        <w:rPr>
          <w:rFonts w:ascii="宋体" w:hAnsi="宋体" w:cs="宋体"/>
          <w:kern w:val="0"/>
          <w:sz w:val="24"/>
          <w:szCs w:val="24"/>
        </w:rPr>
        <w:t>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/>
          <w:kern w:val="0"/>
          <w:sz w:val="24"/>
          <w:szCs w:val="24"/>
        </w:rPr>
        <w:t>、违约责任</w:t>
      </w:r>
    </w:p>
    <w:p w:rsidR="00375521" w:rsidRDefault="00C12CA1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乙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方接到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甲方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订单后，整批货物中单一货物延期交货、逾期交货的视为整批货物供货延期、逾期，违约金处罚按该批所定货物整批金额计算。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11</w:t>
      </w:r>
      <w:r>
        <w:rPr>
          <w:rFonts w:ascii="宋体" w:hAnsi="宋体" w:cs="宋体"/>
          <w:kern w:val="0"/>
          <w:sz w:val="24"/>
          <w:szCs w:val="24"/>
        </w:rPr>
        <w:t>、知识产权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11.1</w:t>
      </w:r>
      <w:r>
        <w:rPr>
          <w:rFonts w:ascii="宋体" w:hAnsi="宋体" w:cs="宋体"/>
          <w:kern w:val="0"/>
          <w:sz w:val="24"/>
          <w:szCs w:val="24"/>
        </w:rPr>
        <w:t>乙方提供的采购标的应符合国家知识产权法律、法规的规定且非假冒伪劣品；乙方还应保证甲方不受到第三方关于侵犯知识产权及专利权、商标权或工业设计权等知识产权方面的指控，任何第三方如果提出此方面指控均与甲方无</w:t>
      </w:r>
      <w:r>
        <w:rPr>
          <w:rFonts w:ascii="宋体" w:hAnsi="宋体" w:cs="宋体"/>
          <w:kern w:val="0"/>
          <w:sz w:val="24"/>
          <w:szCs w:val="24"/>
        </w:rPr>
        <w:lastRenderedPageBreak/>
        <w:t>关，乙方应与第三方交涉，并承担可能发生的一切法律责任、费用和后果；若甲方因此而遭致损失，则乙方应赔偿该损失。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11.2</w:t>
      </w:r>
      <w:r>
        <w:rPr>
          <w:rFonts w:ascii="宋体" w:hAnsi="宋体" w:cs="宋体"/>
          <w:kern w:val="0"/>
          <w:sz w:val="24"/>
          <w:szCs w:val="24"/>
        </w:rPr>
        <w:t>若乙方提供的采购标的不符合国家知识产权法律、法规的规定或被有关主管机关认定为假冒伪劣品，则乙方中标资格将被取消；甲方还将按照有关法律、法规和规章的规定进行处理，具体如下：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乙方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须保证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甲方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在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使用该货物或其任何一部分时不受到第三方关于侵犯专利权、商标权或工业设计权等知识产权的指控。如果任何第三方提出侵权指控与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甲方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无关，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乙方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须与第三方交涉并承担可能发生的责任与一切费用。如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甲方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因此而遭致损失的，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乙方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应赔偿该损失。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12</w:t>
      </w:r>
      <w:r>
        <w:rPr>
          <w:rFonts w:ascii="宋体" w:hAnsi="宋体" w:cs="宋体"/>
          <w:kern w:val="0"/>
          <w:sz w:val="24"/>
          <w:szCs w:val="24"/>
        </w:rPr>
        <w:t>、解决争议的方法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12.1</w:t>
      </w:r>
      <w:r>
        <w:rPr>
          <w:rFonts w:ascii="宋体" w:hAnsi="宋体" w:cs="宋体"/>
          <w:kern w:val="0"/>
          <w:sz w:val="24"/>
          <w:szCs w:val="24"/>
        </w:rPr>
        <w:t>甲、乙双方协商解决。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12.2</w:t>
      </w:r>
      <w:r>
        <w:rPr>
          <w:rFonts w:ascii="宋体" w:hAnsi="宋体" w:cs="宋体"/>
          <w:kern w:val="0"/>
          <w:sz w:val="24"/>
          <w:szCs w:val="24"/>
        </w:rPr>
        <w:t>若协商解决不成，则通过下列途径之一解决：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□</w:t>
      </w:r>
      <w:r>
        <w:rPr>
          <w:rFonts w:ascii="宋体" w:hAnsi="宋体" w:cs="宋体"/>
          <w:kern w:val="0"/>
          <w:sz w:val="24"/>
          <w:szCs w:val="24"/>
        </w:rPr>
        <w:t>提交仲裁委员会仲裁，具体如下：（根据实际情况填写）。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☑</w:t>
      </w:r>
      <w:r>
        <w:rPr>
          <w:rFonts w:ascii="宋体" w:hAnsi="宋体" w:cs="宋体"/>
          <w:kern w:val="0"/>
          <w:sz w:val="24"/>
          <w:szCs w:val="24"/>
        </w:rPr>
        <w:t>向人民法院提起诉讼，具体如下：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泉州市丰泽区人民法院</w:t>
      </w:r>
      <w:r>
        <w:rPr>
          <w:rFonts w:ascii="宋体" w:hAnsi="宋体" w:cs="宋体"/>
          <w:kern w:val="0"/>
          <w:sz w:val="24"/>
          <w:szCs w:val="24"/>
        </w:rPr>
        <w:t>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13</w:t>
      </w:r>
      <w:r>
        <w:rPr>
          <w:rFonts w:ascii="宋体" w:hAnsi="宋体" w:cs="宋体"/>
          <w:kern w:val="0"/>
          <w:sz w:val="24"/>
          <w:szCs w:val="24"/>
        </w:rPr>
        <w:t>、不可抗力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13.1</w:t>
      </w:r>
      <w:r>
        <w:rPr>
          <w:rFonts w:ascii="宋体" w:hAnsi="宋体" w:cs="宋体"/>
          <w:kern w:val="0"/>
          <w:sz w:val="24"/>
          <w:szCs w:val="24"/>
        </w:rPr>
        <w:t>因不可抗力造成违约的，遭受不可抗力一方应及时向对方通</w:t>
      </w:r>
      <w:r>
        <w:rPr>
          <w:rFonts w:ascii="宋体" w:hAnsi="宋体" w:cs="宋体"/>
          <w:kern w:val="0"/>
          <w:sz w:val="24"/>
          <w:szCs w:val="24"/>
        </w:rPr>
        <w:t>报不能履行或不能完全履行的理由，并在随后取得有关主管机关证明后的</w:t>
      </w:r>
      <w:r>
        <w:rPr>
          <w:rFonts w:ascii="宋体" w:hAnsi="宋体" w:cs="宋体"/>
          <w:kern w:val="0"/>
          <w:sz w:val="24"/>
          <w:szCs w:val="24"/>
        </w:rPr>
        <w:t>15</w:t>
      </w:r>
      <w:r>
        <w:rPr>
          <w:rFonts w:ascii="宋体" w:hAnsi="宋体" w:cs="宋体"/>
          <w:kern w:val="0"/>
          <w:sz w:val="24"/>
          <w:szCs w:val="24"/>
        </w:rPr>
        <w:t>日内向另一方提供不可抗力发生及持续期间的充分证据。基于以上行为，允许遭受不可抗力一方延期履行、部分履行或不履行合同，并根据情况可部分或全部免于承担违约责任。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13.2</w:t>
      </w:r>
      <w:r>
        <w:rPr>
          <w:rFonts w:ascii="宋体" w:hAnsi="宋体" w:cs="宋体"/>
          <w:kern w:val="0"/>
          <w:sz w:val="24"/>
          <w:szCs w:val="24"/>
        </w:rPr>
        <w:t>本合同中的不可抗力指不能预见、不能避免、不能克服的客观情况，包括但不限于：自然灾害如地震、台风、洪水、火灾及政府行为、法律规定或其适用的变化或其他任何无法预见、避免或控制的事件。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14</w:t>
      </w:r>
      <w:r>
        <w:rPr>
          <w:rFonts w:ascii="宋体" w:hAnsi="宋体" w:cs="宋体"/>
          <w:kern w:val="0"/>
          <w:sz w:val="24"/>
          <w:szCs w:val="24"/>
        </w:rPr>
        <w:t>、合同条款</w:t>
      </w:r>
    </w:p>
    <w:p w:rsidR="00375521" w:rsidRDefault="00C12CA1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招标文件第四章已有规定的，双方均不得对规定进行变更或调整；招标文件第四章未作规定的，双方可通过友好协商进行约定</w:t>
      </w:r>
      <w:r>
        <w:rPr>
          <w:rFonts w:ascii="宋体" w:hAnsi="宋体" w:cs="宋体"/>
          <w:b/>
          <w:bCs/>
          <w:kern w:val="0"/>
          <w:sz w:val="24"/>
          <w:szCs w:val="24"/>
          <w:u w:val="single"/>
        </w:rPr>
        <w:t>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15</w:t>
      </w:r>
      <w:r>
        <w:rPr>
          <w:rFonts w:ascii="宋体" w:hAnsi="宋体" w:cs="宋体"/>
          <w:kern w:val="0"/>
          <w:sz w:val="24"/>
          <w:szCs w:val="24"/>
        </w:rPr>
        <w:t>、其他约定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15.1</w:t>
      </w:r>
      <w:r>
        <w:rPr>
          <w:rFonts w:ascii="宋体" w:hAnsi="宋体" w:cs="宋体"/>
          <w:kern w:val="0"/>
          <w:sz w:val="24"/>
          <w:szCs w:val="24"/>
        </w:rPr>
        <w:t>合同文件与本合同具有同等法律效力。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15.2</w:t>
      </w:r>
      <w:r>
        <w:rPr>
          <w:rFonts w:ascii="宋体" w:hAnsi="宋体" w:cs="宋体"/>
          <w:kern w:val="0"/>
          <w:sz w:val="24"/>
          <w:szCs w:val="24"/>
        </w:rPr>
        <w:t>本合同未尽事宜，双方可另行补充。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15.3</w:t>
      </w:r>
      <w:r>
        <w:rPr>
          <w:rFonts w:ascii="宋体" w:hAnsi="宋体" w:cs="宋体"/>
          <w:kern w:val="0"/>
          <w:sz w:val="24"/>
          <w:szCs w:val="24"/>
        </w:rPr>
        <w:t>本合同自签订之日起生效。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15.4</w:t>
      </w:r>
      <w:r>
        <w:rPr>
          <w:rFonts w:ascii="宋体" w:hAnsi="宋体" w:cs="宋体"/>
          <w:kern w:val="0"/>
          <w:sz w:val="24"/>
          <w:szCs w:val="24"/>
        </w:rPr>
        <w:t>本合同一式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伍</w:t>
      </w:r>
      <w:r>
        <w:rPr>
          <w:rFonts w:ascii="宋体" w:hAnsi="宋体" w:cs="宋体"/>
          <w:kern w:val="0"/>
          <w:sz w:val="24"/>
          <w:szCs w:val="24"/>
        </w:rPr>
        <w:t>份，经双方授权代表签字并盖章后生效。甲方、乙方各执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贰</w:t>
      </w:r>
      <w:r>
        <w:rPr>
          <w:rFonts w:ascii="宋体" w:hAnsi="宋体" w:cs="宋体"/>
          <w:kern w:val="0"/>
          <w:sz w:val="24"/>
          <w:szCs w:val="24"/>
        </w:rPr>
        <w:t>份，送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泉州市大汇招标代理有限公司</w:t>
      </w:r>
      <w:r>
        <w:rPr>
          <w:rFonts w:ascii="宋体" w:hAnsi="宋体" w:cs="宋体"/>
          <w:kern w:val="0"/>
          <w:sz w:val="24"/>
          <w:szCs w:val="24"/>
        </w:rPr>
        <w:t>备案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壹</w:t>
      </w:r>
      <w:r>
        <w:rPr>
          <w:rFonts w:ascii="宋体" w:hAnsi="宋体" w:cs="宋体"/>
          <w:kern w:val="0"/>
          <w:sz w:val="24"/>
          <w:szCs w:val="24"/>
        </w:rPr>
        <w:t>份，具有同等效力。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15.5</w:t>
      </w:r>
      <w:r>
        <w:rPr>
          <w:rFonts w:ascii="宋体" w:hAnsi="宋体" w:cs="宋体" w:hint="eastAsia"/>
          <w:kern w:val="0"/>
          <w:sz w:val="24"/>
          <w:szCs w:val="24"/>
        </w:rPr>
        <w:t>本次合同包采购为年度采购，合同包中试剂及耗材的品种和数量仅做参考，各采购品种和数量甲方可根据具体情况适当调整，调整后总价不超</w:t>
      </w:r>
      <w:r>
        <w:rPr>
          <w:rFonts w:ascii="宋体" w:hAnsi="宋体" w:cs="宋体" w:hint="eastAsia"/>
          <w:kern w:val="0"/>
          <w:sz w:val="24"/>
          <w:szCs w:val="24"/>
        </w:rPr>
        <w:t>过中标价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75521" w:rsidRDefault="00C12CA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15.</w:t>
      </w:r>
      <w:r>
        <w:rPr>
          <w:rFonts w:ascii="宋体" w:hAnsi="宋体" w:cs="宋体" w:hint="eastAsia"/>
          <w:kern w:val="0"/>
          <w:sz w:val="24"/>
          <w:szCs w:val="24"/>
        </w:rPr>
        <w:t>6</w:t>
      </w:r>
      <w:r>
        <w:rPr>
          <w:rFonts w:ascii="宋体" w:hAnsi="宋体" w:cs="宋体"/>
          <w:kern w:val="0"/>
          <w:sz w:val="24"/>
          <w:szCs w:val="24"/>
        </w:rPr>
        <w:t>其他：</w:t>
      </w:r>
      <w:r>
        <w:rPr>
          <w:rFonts w:ascii="宋体" w:hAnsi="宋体" w:cs="宋体"/>
          <w:kern w:val="0"/>
          <w:sz w:val="24"/>
          <w:szCs w:val="24"/>
        </w:rPr>
        <w:t>□</w:t>
      </w:r>
      <w:r>
        <w:rPr>
          <w:rFonts w:ascii="宋体" w:hAnsi="宋体" w:cs="宋体"/>
          <w:kern w:val="0"/>
          <w:sz w:val="24"/>
          <w:szCs w:val="24"/>
        </w:rPr>
        <w:t>无。</w:t>
      </w:r>
      <w:r>
        <w:rPr>
          <w:rFonts w:ascii="宋体" w:hAnsi="宋体" w:cs="宋体" w:hint="eastAsia"/>
          <w:kern w:val="0"/>
          <w:sz w:val="24"/>
          <w:szCs w:val="24"/>
        </w:rPr>
        <w:t>☑</w:t>
      </w:r>
      <w:r>
        <w:rPr>
          <w:rFonts w:ascii="宋体" w:hAnsi="宋体" w:cs="宋体"/>
          <w:kern w:val="0"/>
          <w:sz w:val="24"/>
          <w:szCs w:val="24"/>
        </w:rPr>
        <w:t>（根据实际情况填写需要增加的内容）。</w:t>
      </w:r>
    </w:p>
    <w:p w:rsidR="00375521" w:rsidRDefault="00C12CA1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（以下无正文）</w:t>
      </w: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 w:rsidR="00375521" w:rsidRDefault="0037552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  <w:sectPr w:rsidR="00375521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甲方：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泉州市农业农村局</w:t>
      </w: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乙方：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杭州邦尼动物保健品有限公司</w:t>
      </w:r>
    </w:p>
    <w:p w:rsidR="00375521" w:rsidRDefault="0037552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  <w:sectPr w:rsidR="00375521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住所：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丰泽区东海行政中心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D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栋</w:t>
      </w: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住所：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浙江省杭州市江干区天城路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87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号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2012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室</w:t>
      </w:r>
    </w:p>
    <w:p w:rsidR="00375521" w:rsidRDefault="0037552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  <w:sectPr w:rsidR="00375521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单位负责人：</w:t>
      </w: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单位负责人：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詹林琳</w:t>
      </w:r>
    </w:p>
    <w:p w:rsidR="00375521" w:rsidRDefault="0037552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  <w:sectPr w:rsidR="00375521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委托代理人：</w:t>
      </w: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委托代理人：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詹</w:t>
      </w:r>
      <w:bookmarkStart w:id="0" w:name="_GoBack"/>
      <w:bookmarkEnd w:id="0"/>
      <w:r>
        <w:rPr>
          <w:rFonts w:ascii="宋体" w:hAnsi="宋体" w:cs="宋体" w:hint="eastAsia"/>
          <w:b/>
          <w:bCs/>
          <w:sz w:val="24"/>
          <w:szCs w:val="24"/>
          <w:u w:val="single"/>
        </w:rPr>
        <w:t>林琳</w:t>
      </w:r>
    </w:p>
    <w:p w:rsidR="00375521" w:rsidRDefault="0037552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  <w:sectPr w:rsidR="00375521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联系方法：</w:t>
      </w: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联系方法：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13732213567</w:t>
      </w:r>
    </w:p>
    <w:p w:rsidR="00375521" w:rsidRDefault="0037552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  <w:sectPr w:rsidR="00375521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开户银行：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泉州银行新门支行</w:t>
      </w: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开户银行</w:t>
      </w:r>
      <w:r>
        <w:rPr>
          <w:rFonts w:ascii="宋体" w:hAnsi="宋体" w:cs="宋体"/>
          <w:kern w:val="0"/>
          <w:sz w:val="24"/>
          <w:szCs w:val="24"/>
        </w:rPr>
        <w:t>：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中国农业银行杭州秋涛路支行</w:t>
      </w:r>
    </w:p>
    <w:p w:rsidR="00375521" w:rsidRDefault="0037552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  <w:sectPr w:rsidR="00375521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账号：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0000008989746012</w:t>
      </w: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账号：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1901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6 00104 0002891</w:t>
      </w:r>
    </w:p>
    <w:p w:rsidR="00375521" w:rsidRDefault="0037552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  <w:sectPr w:rsidR="00375521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 </w:t>
      </w:r>
    </w:p>
    <w:p w:rsidR="00375521" w:rsidRDefault="00C12CA1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签订地点：</w:t>
      </w:r>
      <w:r>
        <w:rPr>
          <w:rFonts w:ascii="宋体" w:hAnsi="宋体" w:cs="宋体"/>
          <w:kern w:val="0"/>
          <w:sz w:val="24"/>
          <w:szCs w:val="24"/>
        </w:rPr>
        <w:t>                </w:t>
      </w:r>
    </w:p>
    <w:p w:rsidR="00375521" w:rsidRDefault="00C12CA1">
      <w:pPr>
        <w:widowControl/>
        <w:spacing w:line="360" w:lineRule="auto"/>
        <w:jc w:val="left"/>
      </w:pPr>
      <w:r>
        <w:rPr>
          <w:rFonts w:ascii="宋体" w:hAnsi="宋体" w:cs="宋体"/>
          <w:kern w:val="0"/>
          <w:sz w:val="24"/>
          <w:szCs w:val="24"/>
        </w:rPr>
        <w:t>签订日期：</w:t>
      </w:r>
      <w:r>
        <w:rPr>
          <w:rFonts w:ascii="宋体" w:hAnsi="宋体" w:cs="宋体"/>
          <w:kern w:val="0"/>
          <w:sz w:val="24"/>
          <w:szCs w:val="24"/>
        </w:rPr>
        <w:t>    </w:t>
      </w:r>
      <w:r>
        <w:rPr>
          <w:rFonts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>   </w:t>
      </w:r>
      <w:r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>   </w:t>
      </w:r>
      <w:r>
        <w:rPr>
          <w:rFonts w:ascii="宋体" w:hAnsi="宋体" w:cs="宋体"/>
          <w:kern w:val="0"/>
          <w:sz w:val="24"/>
          <w:szCs w:val="24"/>
        </w:rPr>
        <w:t>日</w:t>
      </w:r>
    </w:p>
    <w:sectPr w:rsidR="00375521" w:rsidSect="0037552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A1" w:rsidRDefault="00C12CA1" w:rsidP="00375521">
      <w:r>
        <w:separator/>
      </w:r>
    </w:p>
  </w:endnote>
  <w:endnote w:type="continuationSeparator" w:id="0">
    <w:p w:rsidR="00C12CA1" w:rsidRDefault="00C12CA1" w:rsidP="0037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21" w:rsidRDefault="0037552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5.65pt;margin-top:-6pt;width:86.25pt;height:20.1pt;z-index:251658240;mso-position-horizontal-relative:margin" o:gfxdata="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MjmmvYAAAACgEA&#10;AA8AAAAAAAAAAQAgAAAAIgAAAGRycy9kb3ducmV2LnhtbFBLAQIUABQAAAAIAIdO4kAswEVYGgIA&#10;ABQEAAAOAAAAAAAAAAEAIAAAACcBAABkcnMvZTJvRG9jLnhtbFBLBQYAAAAABgAGAFkBAACzBQAA&#10;AAA=&#10;" filled="f" stroked="f" strokeweight=".5pt">
          <v:textbox inset="0,0,0,0">
            <w:txbxContent>
              <w:p w:rsidR="00375521" w:rsidRDefault="00C12CA1">
                <w:pPr>
                  <w:pStyle w:val="a3"/>
                  <w:jc w:val="center"/>
                  <w:rPr>
                    <w:rFonts w:ascii="宋体" w:hAnsi="宋体" w:cs="宋体"/>
                    <w:b/>
                    <w:bCs/>
                    <w:sz w:val="21"/>
                    <w:szCs w:val="28"/>
                  </w:rPr>
                </w:pPr>
                <w:r>
                  <w:rPr>
                    <w:rFonts w:ascii="宋体" w:hAnsi="宋体" w:cs="宋体" w:hint="eastAsia"/>
                    <w:b/>
                    <w:bCs/>
                    <w:sz w:val="21"/>
                    <w:szCs w:val="28"/>
                  </w:rPr>
                  <w:t>第</w:t>
                </w:r>
                <w:r>
                  <w:rPr>
                    <w:rFonts w:ascii="宋体" w:hAnsi="宋体" w:cs="宋体" w:hint="eastAsia"/>
                    <w:b/>
                    <w:bCs/>
                    <w:sz w:val="21"/>
                    <w:szCs w:val="28"/>
                  </w:rPr>
                  <w:t xml:space="preserve"> </w:t>
                </w:r>
                <w:r w:rsidR="00375521">
                  <w:rPr>
                    <w:rFonts w:ascii="宋体" w:hAnsi="宋体" w:cs="宋体" w:hint="eastAsia"/>
                    <w:b/>
                    <w:bCs/>
                    <w:sz w:val="21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b/>
                    <w:bCs/>
                    <w:sz w:val="21"/>
                    <w:szCs w:val="28"/>
                  </w:rPr>
                  <w:instrText xml:space="preserve"> PAGE  \* MERGEFORMAT </w:instrText>
                </w:r>
                <w:r w:rsidR="00375521">
                  <w:rPr>
                    <w:rFonts w:ascii="宋体" w:hAnsi="宋体" w:cs="宋体" w:hint="eastAsia"/>
                    <w:b/>
                    <w:bCs/>
                    <w:sz w:val="21"/>
                    <w:szCs w:val="28"/>
                  </w:rPr>
                  <w:fldChar w:fldCharType="separate"/>
                </w:r>
                <w:r w:rsidR="00912F1E">
                  <w:rPr>
                    <w:rFonts w:ascii="宋体" w:hAnsi="宋体" w:cs="宋体"/>
                    <w:b/>
                    <w:bCs/>
                    <w:noProof/>
                    <w:sz w:val="21"/>
                    <w:szCs w:val="28"/>
                  </w:rPr>
                  <w:t>2</w:t>
                </w:r>
                <w:r w:rsidR="00375521">
                  <w:rPr>
                    <w:rFonts w:ascii="宋体" w:hAnsi="宋体" w:cs="宋体" w:hint="eastAsia"/>
                    <w:b/>
                    <w:bCs/>
                    <w:sz w:val="21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b/>
                    <w:bCs/>
                    <w:sz w:val="21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bCs/>
                    <w:sz w:val="21"/>
                    <w:szCs w:val="28"/>
                  </w:rPr>
                  <w:t>页</w:t>
                </w:r>
                <w:r>
                  <w:rPr>
                    <w:rFonts w:ascii="宋体" w:hAnsi="宋体" w:cs="宋体" w:hint="eastAsia"/>
                    <w:b/>
                    <w:bCs/>
                    <w:sz w:val="21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bCs/>
                    <w:sz w:val="21"/>
                    <w:szCs w:val="28"/>
                  </w:rPr>
                  <w:t>共</w:t>
                </w:r>
                <w:r>
                  <w:rPr>
                    <w:rFonts w:ascii="宋体" w:hAnsi="宋体" w:cs="宋体" w:hint="eastAsia"/>
                    <w:b/>
                    <w:bCs/>
                    <w:sz w:val="21"/>
                    <w:szCs w:val="28"/>
                  </w:rPr>
                  <w:t xml:space="preserve"> </w:t>
                </w:r>
                <w:fldSimple w:instr=" NUMPAGES  \* MERGEFORMAT ">
                  <w:r w:rsidR="00912F1E">
                    <w:rPr>
                      <w:rFonts w:ascii="宋体" w:hAnsi="宋体" w:cs="宋体"/>
                      <w:b/>
                      <w:bCs/>
                      <w:noProof/>
                      <w:sz w:val="21"/>
                      <w:szCs w:val="28"/>
                    </w:rPr>
                    <w:t>8</w:t>
                  </w:r>
                </w:fldSimple>
                <w:r>
                  <w:rPr>
                    <w:rFonts w:ascii="宋体" w:hAnsi="宋体" w:cs="宋体" w:hint="eastAsia"/>
                    <w:b/>
                    <w:bCs/>
                    <w:sz w:val="21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bCs/>
                    <w:sz w:val="21"/>
                    <w:szCs w:val="2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A1" w:rsidRDefault="00C12CA1" w:rsidP="00375521">
      <w:r>
        <w:separator/>
      </w:r>
    </w:p>
  </w:footnote>
  <w:footnote w:type="continuationSeparator" w:id="0">
    <w:p w:rsidR="00C12CA1" w:rsidRDefault="00C12CA1" w:rsidP="00375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21" w:rsidRDefault="00C12CA1">
    <w:pPr>
      <w:pStyle w:val="a4"/>
    </w:pPr>
    <w:r>
      <w:rPr>
        <w:rFonts w:ascii="宋体" w:hAnsi="宋体" w:cs="宋体" w:hint="eastAsia"/>
        <w:b/>
        <w:bCs/>
        <w:sz w:val="24"/>
        <w:szCs w:val="24"/>
        <w:u w:val="single"/>
      </w:rPr>
      <w:t>杭州邦尼动物保健品有限公司合同</w:t>
    </w:r>
    <w:r>
      <w:rPr>
        <w:rFonts w:ascii="宋体" w:hAnsi="宋体" w:cs="宋体" w:hint="eastAsia"/>
        <w:b/>
        <w:bCs/>
        <w:sz w:val="24"/>
        <w:szCs w:val="24"/>
        <w:u w:val="single"/>
      </w:rPr>
      <w:t xml:space="preserve">                  </w:t>
    </w:r>
    <w:r>
      <w:rPr>
        <w:rFonts w:ascii="宋体" w:hAnsi="宋体" w:cs="宋体" w:hint="eastAsia"/>
        <w:b/>
        <w:bCs/>
        <w:sz w:val="24"/>
        <w:szCs w:val="24"/>
        <w:u w:val="single"/>
      </w:rPr>
      <w:t>项目编号：</w:t>
    </w:r>
    <w:r>
      <w:rPr>
        <w:rFonts w:ascii="宋体" w:hAnsi="宋体" w:cs="宋体" w:hint="eastAsia"/>
        <w:b/>
        <w:bCs/>
        <w:sz w:val="24"/>
        <w:szCs w:val="24"/>
        <w:u w:val="single"/>
      </w:rPr>
      <w:t>DHZB2020021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941"/>
    <w:multiLevelType w:val="multilevel"/>
    <w:tmpl w:val="28020941"/>
    <w:lvl w:ilvl="0">
      <w:start w:val="1"/>
      <w:numFmt w:val="chineseCountingThousand"/>
      <w:suff w:val="nothing"/>
      <w:lvlText w:val="第%1部分"/>
      <w:lvlJc w:val="left"/>
      <w:rPr>
        <w:rFonts w:ascii="黑体" w:eastAsia="黑体" w:hint="eastAsia"/>
        <w:sz w:val="32"/>
        <w:szCs w:val="32"/>
      </w:rPr>
    </w:lvl>
    <w:lvl w:ilvl="1">
      <w:start w:val="1"/>
      <w:numFmt w:val="upperLetter"/>
      <w:pStyle w:val="2"/>
      <w:suff w:val="nothing"/>
      <w:lvlText w:val="%2"/>
      <w:lvlJc w:val="left"/>
      <w:pPr>
        <w:ind w:left="3240"/>
      </w:pPr>
      <w:rPr>
        <w:rFonts w:ascii="CG Times" w:hAnsi="CG Times" w:cs="CG Times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Restart w:val="0"/>
      <w:suff w:val="nothing"/>
      <w:lvlText w:val="%3"/>
      <w:lvlJc w:val="left"/>
      <w:rPr>
        <w:rFonts w:ascii="宋体" w:eastAsia="宋体" w:hint="eastAsia"/>
        <w:b/>
        <w:bCs/>
        <w:i w:val="0"/>
        <w:iCs w:val="0"/>
        <w:sz w:val="28"/>
        <w:szCs w:val="28"/>
      </w:rPr>
    </w:lvl>
    <w:lvl w:ilvl="3">
      <w:start w:val="1"/>
      <w:numFmt w:val="none"/>
      <w:suff w:val="nothing"/>
      <w:lvlText w:val=""/>
      <w:lvlJc w:val="left"/>
      <w:rPr>
        <w:rFonts w:hint="eastAsia"/>
      </w:rPr>
    </w:lvl>
    <w:lvl w:ilvl="4">
      <w:start w:val="1"/>
      <w:numFmt w:val="none"/>
      <w:suff w:val="nothing"/>
      <w:lvlText w:val=""/>
      <w:lvlJc w:val="left"/>
      <w:rPr>
        <w:rFonts w:hint="eastAsia"/>
      </w:rPr>
    </w:lvl>
    <w:lvl w:ilvl="5">
      <w:start w:val="1"/>
      <w:numFmt w:val="none"/>
      <w:suff w:val="nothing"/>
      <w:lvlText w:val=""/>
      <w:lvlJc w:val="left"/>
      <w:rPr>
        <w:rFonts w:hint="eastAsia"/>
      </w:rPr>
    </w:lvl>
    <w:lvl w:ilvl="6">
      <w:start w:val="1"/>
      <w:numFmt w:val="none"/>
      <w:suff w:val="nothing"/>
      <w:lvlText w:val=""/>
      <w:lvlJc w:val="left"/>
      <w:rPr>
        <w:rFonts w:hint="eastAsia"/>
      </w:rPr>
    </w:lvl>
    <w:lvl w:ilvl="7">
      <w:start w:val="1"/>
      <w:numFmt w:val="none"/>
      <w:suff w:val="nothing"/>
      <w:lvlText w:val=""/>
      <w:lvlJc w:val="left"/>
      <w:rPr>
        <w:rFonts w:hint="eastAsia"/>
      </w:rPr>
    </w:lvl>
    <w:lvl w:ilvl="8">
      <w:start w:val="1"/>
      <w:numFmt w:val="none"/>
      <w:suff w:val="nothing"/>
      <w:lvlText w:val="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763063"/>
    <w:rsid w:val="00375521"/>
    <w:rsid w:val="00912F1E"/>
    <w:rsid w:val="00C12CA1"/>
    <w:rsid w:val="00D25D75"/>
    <w:rsid w:val="05D26ADE"/>
    <w:rsid w:val="2ADC142F"/>
    <w:rsid w:val="3533567C"/>
    <w:rsid w:val="387B6A83"/>
    <w:rsid w:val="387F478E"/>
    <w:rsid w:val="3CBD3AD0"/>
    <w:rsid w:val="4DDC2CB1"/>
    <w:rsid w:val="51763063"/>
    <w:rsid w:val="581831CC"/>
    <w:rsid w:val="5B6160A0"/>
    <w:rsid w:val="5E3B456A"/>
    <w:rsid w:val="637660C5"/>
    <w:rsid w:val="72803B82"/>
    <w:rsid w:val="7B4C67CE"/>
    <w:rsid w:val="7E3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37552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9"/>
    <w:qFormat/>
    <w:rsid w:val="00375521"/>
    <w:pPr>
      <w:keepNext/>
      <w:keepLines/>
      <w:numPr>
        <w:ilvl w:val="1"/>
        <w:numId w:val="1"/>
      </w:numPr>
      <w:spacing w:before="260" w:after="260" w:line="415" w:lineRule="auto"/>
      <w:jc w:val="center"/>
      <w:outlineLvl w:val="1"/>
    </w:pPr>
    <w:rPr>
      <w:rFonts w:ascii="CG Times" w:hAnsi="CG Times" w:cs="CG Times"/>
      <w:b/>
      <w:bCs/>
      <w:sz w:val="30"/>
      <w:szCs w:val="30"/>
    </w:rPr>
  </w:style>
  <w:style w:type="paragraph" w:styleId="4">
    <w:name w:val="heading 4"/>
    <w:basedOn w:val="a"/>
    <w:next w:val="a"/>
    <w:uiPriority w:val="9"/>
    <w:qFormat/>
    <w:rsid w:val="00375521"/>
    <w:pPr>
      <w:keepNext/>
      <w:keepLines/>
      <w:spacing w:before="280" w:after="290" w:line="374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755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755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375521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6">
    <w:name w:val="Table Grid"/>
    <w:basedOn w:val="a1"/>
    <w:qFormat/>
    <w:rsid w:val="003755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7552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小尤</dc:creator>
  <cp:lastModifiedBy>Administrator</cp:lastModifiedBy>
  <cp:revision>2</cp:revision>
  <dcterms:created xsi:type="dcterms:W3CDTF">2020-06-09T07:49:00Z</dcterms:created>
  <dcterms:modified xsi:type="dcterms:W3CDTF">2020-06-09T07:49:00Z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